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Surviving spouse's property and nonprobate transfers to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Surviving spouse's property and nonprobate transfers to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§2-207. SURVIVING SPOUSE'S PROPERTY AND NONPROBATE TRANSFERS TO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