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ind w:firstLine="360"/>
      </w:pPr>
      <w:r>
        <w:rPr>
          <w:b/>
        </w:rPr>
        <w:t>1</w:t>
        <w:t xml:space="preserve">.  </w:t>
      </w:r>
      <w:r>
        <w:rPr>
          <w:b/>
        </w:rPr>
        <w:t xml:space="preserve">Venue for first estate proceedings.</w:t>
        <w:t xml:space="preserve"> </w:t>
      </w:r>
      <w:r>
        <w:t xml:space="preserve"> </w:t>
      </w:r>
      <w:r>
        <w:t xml:space="preserve">Venue for the first informal or formal testacy or appointment proceedings after a decedent's death is:</w:t>
      </w:r>
    </w:p>
    <w:p>
      <w:pPr>
        <w:jc w:val="both"/>
        <w:spacing w:before="100" w:after="0"/>
        <w:ind w:start="720"/>
      </w:pPr>
      <w:r>
        <w:rPr/>
        <w:t>A</w:t>
        <w:t xml:space="preserve">.  </w:t>
      </w:r>
      <w:r>
        <w:rPr/>
      </w:r>
      <w:r>
        <w:t xml:space="preserve">In the county where the decedent was domiciled at the time of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decedent was not domiciled in this State, in any county where property of the decedent was located at the time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for subsequent proceedings.</w:t>
        <w:t xml:space="preserve"> </w:t>
      </w:r>
      <w:r>
        <w:t xml:space="preserve"> </w:t>
      </w:r>
      <w:r>
        <w:t xml:space="preserve">Venue for all subsequent proceedings within the exclusive jurisdiction of the court is in the place where the initial proceeding occurred, unless the initial proceeding has been transferred as provided in </w:t>
      </w:r>
      <w:r>
        <w:t>subsection 3</w:t>
      </w:r>
      <w:r>
        <w:t xml:space="preserve"> or </w:t>
      </w:r>
      <w:r>
        <w:t>section 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after informal proceeding.</w:t>
        <w:t xml:space="preserve"> </w:t>
      </w:r>
      <w:r>
        <w:t xml:space="preserve"> </w:t>
      </w:r>
      <w:r>
        <w:t xml:space="preserve">If the first proceeding was informal, on application of an interested person and after notice to the proponent in the first proceeding, the court, upon finding that venue is elsewhere, may transfer the proceeding and the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Location of property.</w:t>
        <w:t xml:space="preserve"> </w:t>
      </w:r>
      <w:r>
        <w:t xml:space="preserve"> </w:t>
      </w:r>
      <w:r>
        <w:t xml:space="preserve">For the purpose of aiding determinations concerning location of property that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Venue for first and subsequent estate proceedings; location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Venue for first and subsequent estate proceedings; location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§3-201. VENUE FOR FIRST AND SUBSEQUENT ESTATE PROCEEDINGS; LOCATION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