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0"/>
        <w:ind w:start="360"/>
        <w:ind w:firstLine="360"/>
      </w:pPr>
      <w:r>
        <w:rPr>
          <w:b/>
        </w:rPr>
        <w:t>1</w:t>
        <w:t xml:space="preserve">.  </w:t>
      </w:r>
      <w:r>
        <w:rPr>
          <w:b/>
        </w:rPr>
        <w:t xml:space="preserve">Order in which assets appropriated; abatement.</w:t>
        <w:t xml:space="preserve"> </w:t>
      </w:r>
      <w:r>
        <w:t xml:space="preserve"> </w:t>
      </w:r>
      <w:r>
        <w:t xml:space="preserve">Except as provided in </w:t>
      </w:r>
      <w:r>
        <w:t>subsection 2</w:t>
      </w:r>
      <w:r>
        <w:t xml:space="preserve"> and except as provided in connection with the share of the surviving spouse who elects to take an elective share, shares of distributees abate, without any preference or priority as between real and personal property, in the following order: property not disposed of by the will, residuary devises, general devises and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of the testator controls.</w:t>
        <w:t xml:space="preserve"> </w:t>
      </w:r>
      <w:r>
        <w:t xml:space="preserve"> </w:t>
      </w:r>
      <w:r>
        <w:t xml:space="preserve">If the will expresses an order of abatement or if the testamentary plan or the express or implied purpose of the devise would be defeated by the order of abatement stated in </w:t>
      </w:r>
      <w:r>
        <w:t>subsection 1</w:t>
      </w:r>
      <w:r>
        <w:t xml:space="preserve">, the shares of the distributees abate as may be found necessary to give effect to the intention of the testator.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Adjustments.</w:t>
        <w:t xml:space="preserve"> </w:t>
      </w:r>
      <w:r>
        <w:t xml:space="preserve"> </w:t>
      </w:r>
      <w:r>
        <w:t xml:space="preserve">If the subject of a preferred devise is sold or used incident to administration, abatement must be achieved by appropriate adjustments in or contribution from other interests in the remaining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§3-902. DISTRIBUTION; ORDER IN WHICH ASSETS APPROPRIATED;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