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§5-316. GUARDIAN'S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