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Appointment and role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Appointment and role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§5-405. APPOINTMENT AND ROLE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