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5-419</w:t>
        <w:t xml:space="preserve">.  </w:t>
      </w:r>
      <w:r>
        <w:rPr>
          <w:b/>
        </w:rPr>
        <w:t xml:space="preserve">Conservator's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as conservator for an adult shall file with the petition a plan for protecting, managing, expending and distributing the assets of the conservatorship estate.  When there is a change in circumstances or when the conservator seeks to deviate significantly from the conservator's plan previously filed, the conservator shall file with the court a revised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jc w:val="both"/>
        <w:spacing w:before="100" w:after="0"/>
        <w:ind w:start="720"/>
      </w:pPr>
      <w:r>
        <w:rPr/>
        <w:t>A</w:t>
        <w:t xml:space="preserve">.  </w:t>
      </w:r>
      <w:r>
        <w:rPr/>
      </w:r>
      <w:r>
        <w:t xml:space="preserve">A budget setting forth projected expenses and resources, including an estimate of the total amount of fees the conservator anticipates charging per year and a statement or list of the amount the conservator proposes to charge for each service the conservator anticipates providing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How the conservator will involve the individual subject to conservatorship in decisions about management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step the conservator plans to take to develop or restore the ability of the individual subject to conservatorship to manage the conservatorship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estimate of the duration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conservator shall give notice of the filing of a revised plan under </w:t>
      </w:r>
      <w:r>
        <w:t>subsection 1</w:t>
      </w:r>
      <w:r>
        <w:t xml:space="preserve">, along with a copy of the revised plan, to the individual subject to conservatorship, all persons entitled to notice under </w:t>
      </w:r>
      <w:r>
        <w:t>section 5‑411,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individual subject to conservatorship and any person entitled under </w:t>
      </w:r>
      <w:r>
        <w:t>subsection 2</w:t>
      </w:r>
      <w:r>
        <w:t xml:space="preserve"> to receive notice and a copy of the conservator's revised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conservator's plan or revised plan filed under </w:t>
      </w:r>
      <w:r>
        <w:t>subsection 1</w:t>
      </w:r>
      <w:r>
        <w:t xml:space="preserve">.  In deciding whether to approve the plan or revised plan, the court shall consider any objection under </w:t>
      </w:r>
      <w:r>
        <w:t>subsection 3</w:t>
      </w:r>
      <w:r>
        <w:t xml:space="preserve"> and whether the plan or revised plan is consistent with the conservator's duties and powers.  The court may schedule a hearing on any revised plan submitted and may not approve the plan or revised plan until 30 days after its filing. The conservator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conservator's plan or revised plan under this section is approved by the court, the conservator shall provide a copy of the plan or revised plan to the individual subject to conservatorship, all persons entitled to notice under </w:t>
      </w:r>
      <w:r>
        <w:t>section 5‑411,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requirement for the filing of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§§75, 76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§5-419. Conservator's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§5-419. Conservator's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§5-419. CONSERVATOR'S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