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5-803-A</w:t>
        <w:t xml:space="preserve">.  </w:t>
      </w:r>
      <w:r>
        <w:rPr>
          <w:b/>
        </w:rPr>
        <w:t xml:space="preserve">Remote signing of advance health care directives in health care facilities</w:t>
      </w:r>
    </w:p>
    <w:p>
      <w:pPr>
        <w:jc w:val="both"/>
        <w:spacing w:before="100" w:after="100"/>
        <w:ind w:start="360"/>
        <w:ind w:firstLine="360"/>
      </w:pPr>
      <w:r>
        <w:rPr/>
      </w:r>
      <w:r>
        <w:rPr/>
      </w:r>
      <w:r>
        <w:t xml:space="preserve">When a principal in a hospital or a residential health care facility has an infectious disease and is confined to a room or ward where isolation precautions prevent the physical presence of individuals or documents necessary for executing the principal's advance health care directives, staff, employees and agents of a hospital or a residential health care facility where the principal is located may assist and facilitate the execution of advance health care directives using the process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may direct another individual physically located beyond the isolation area but in the same facility to sign the principal's name to the advance health care directive.  If necessary, the principal may employ 2-way audiovisual communication technology to direct the individual to sign and to allow the signing to be witnessed.  This audiovisual technology must allow direct contemporaneous interaction between the principal, the individual signing the document and any witness by sight and sound in real time.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must be provided with an unsigned copy of the advance health care directive prior to the signing for the principal to review.  The individual signing for the principal must be provided with the original advance health care directive.  After it is signed and witnessed, a copy of the original advance health care directive must be given to the principal or the principal's agent if named in the advance health care directive.  The signed and witnessed original advance health care directive must be filed with the principal's medical record as soon as possible.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If the principal or the principal's agent identifies any substantive difference between the unsigned copy and the signed and witnessed original advance health care directive, the principal or the agent may revoke the advance health care directive by notifying the primary physician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Staff, employees and agents of a hospital or a residential health care facility are immune from suit or legal liability for their good faith actions or omissions arising out of their use of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This section does not apply to any other documents or settings or when advance health care directives are notarized.</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§5-803-A. Remote signing of advance health care directives in health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§5-803-A. Remote signing of advance health care directives in health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§5-803-A. REMOTE SIGNING OF ADVANCE HEALTH CARE DIRECTIVES IN HEALTH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