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Effect of registration in beneficiary form</w:t>
      </w:r>
    </w:p>
    <w:p>
      <w:pPr>
        <w:jc w:val="both"/>
        <w:spacing w:before="100" w:after="100"/>
        <w:ind w:start="360"/>
        <w:ind w:firstLine="360"/>
      </w:pPr>
      <w:r>
        <w:rPr/>
      </w:r>
      <w:r>
        <w:rPr/>
      </w:r>
      <w:r>
        <w:t xml:space="preserve">The designation of a transfer on death, or "TOD," beneficiary on a registration in beneficiary form has no effect on ownership until the owner's death.  A registration of a security in beneficiary form may be canceled or changed at any time by the sole owner or all then-surviving owners without the consent of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§6-306. Effect of registration in beneficiary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Effect of registration in beneficiary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§6-306. EFFECT OF REGISTRATION IN BENEFICIARY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