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1616</w:t>
        <w:t xml:space="preserve">.  </w:t>
      </w:r>
      <w:r>
        <w:rPr>
          <w:b/>
        </w:rPr>
        <w:t xml:space="preserve">Voluntary acknowledgment of paternity</w:t>
      </w:r>
    </w:p>
    <w:p>
      <w:pPr>
        <w:jc w:val="both"/>
        <w:spacing w:before="100" w:after="100"/>
        <w:ind w:start="360"/>
      </w:pPr>
      <w:r>
        <w:rPr>
          <w:b/>
        </w:rPr>
        <w:t>(REPEALED)</w:t>
      </w:r>
    </w:p>
    <w:p>
      <w:pPr>
        <w:jc w:val="both"/>
        <w:spacing w:before="100" w:after="100"/>
        <w:ind w:start="360"/>
      </w:pPr>
      <w:r>
        <w:rPr>
          <w:b/>
        </w:rPr>
        <w:t>(REALLOCATED FROM TITLE 19-A, SECTION 1615)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§15 (RAL). PL 2015, c. 296, Pt. C, §16 (RP).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§1616. Voluntary acknowledgment of paternity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§1616. Voluntary acknowledgment of paternity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§1616. VOLUNTARY ACKNOWLEDGMENT OF PATERNITY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