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Spouse's or parent's obligation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Spouse's or parent's obligation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§1652. SPOUSE'S OR PARENT'S OBLIGATION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