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1735</w:t>
        <w:t xml:space="preserve">.  </w:t>
      </w:r>
      <w:r>
        <w:rPr>
          <w:b/>
        </w:rPr>
        <w:t xml:space="preserve">International application of chapter</w:t>
      </w:r>
    </w:p>
    <w:p>
      <w:pPr>
        <w:jc w:val="both"/>
        <w:spacing w:before="100" w:after="0"/>
        <w:ind w:start="360"/>
        <w:ind w:firstLine="360"/>
      </w:pPr>
      <w:r>
        <w:rPr>
          <w:b/>
        </w:rPr>
        <w:t>1</w:t>
        <w:t xml:space="preserve">.  </w:t>
      </w:r>
      <w:r>
        <w:rPr>
          <w:b/>
        </w:rPr>
        <w:t xml:space="preserve">Foreign country treated as a state.</w:t>
        <w:t xml:space="preserve"> </w:t>
      </w:r>
      <w:r>
        <w:t xml:space="preserve"> </w:t>
      </w:r>
      <w:r>
        <w:t xml:space="preserve">A court of this State shall treat a foreign country as if it were a state of the United States for the purpose of applying this subchapter and </w:t>
      </w:r>
      <w:r>
        <w:t>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Recognition and enforcement of foreign determination.</w:t>
        <w:t xml:space="preserve"> </w:t>
      </w:r>
      <w:r>
        <w:t xml:space="preserve"> </w:t>
      </w:r>
      <w:r>
        <w:t xml:space="preserve">Except as otherwise provided in </w:t>
      </w:r>
      <w:r>
        <w:t>subsection 3</w:t>
      </w:r>
      <w:r>
        <w:t xml:space="preserve">, a child custody determination made in a foreign country under factual circumstances in substantial conformity with the jurisdictional standards of this chapter must be recognized and enforced under </w:t>
      </w:r>
      <w:r>
        <w:t>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Application not required.</w:t>
        <w:t xml:space="preserve"> </w:t>
      </w:r>
      <w:r>
        <w:t xml:space="preserve"> </w:t>
      </w:r>
      <w:r>
        <w:t xml:space="preserve">A court of this State need not apply this chapter if the child custody law of a foreign country violates fundamental principles of human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§1735. International application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§1735. International application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§1735. INTERNATIONAL APPLICATION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