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1749</w:t>
        <w:t xml:space="preserve">.  </w:t>
      </w:r>
      <w:r>
        <w:rPr>
          <w:b/>
        </w:rPr>
        <w:t xml:space="preserve">Notice; opportunity to be heard; joinder</w:t>
      </w:r>
    </w:p>
    <w:p>
      <w:pPr>
        <w:jc w:val="both"/>
        <w:spacing w:before="100" w:after="0"/>
        <w:ind w:start="360"/>
        <w:ind w:firstLine="360"/>
      </w:pPr>
      <w:r>
        <w:rPr>
          <w:b/>
        </w:rPr>
        <w:t>1</w:t>
        <w:t xml:space="preserve">.  </w:t>
      </w:r>
      <w:r>
        <w:rPr>
          <w:b/>
        </w:rPr>
        <w:t xml:space="preserve">Notice and opportunity to be heard required.</w:t>
        <w:t xml:space="preserve"> </w:t>
      </w:r>
      <w:r>
        <w:t xml:space="preserve"> </w:t>
      </w:r>
      <w:r>
        <w:t xml:space="preserve">Before a child custody determination is made under this chapter, notice and an opportunity to be heard in accordance with the standards of </w:t>
      </w:r>
      <w:r>
        <w:t>section 1738</w:t>
      </w:r>
      <w:r>
        <w:t xml:space="preserve"> must be given to all persons entitled to notice under the law of this State as in child custody proceedings between residents of this State, any parent whose parental rights have not been previously terminated and any person having physical custody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Enforceability without notice and opportunity to be heard.</w:t>
        <w:t xml:space="preserve"> </w:t>
      </w:r>
      <w:r>
        <w:t xml:space="preserve"> </w:t>
      </w:r>
      <w:r>
        <w:t xml:space="preserve">This chapter does not govern the enforceability of a child custody determination made without notice or an opportunity to be heard.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Joinder and intervention of parties.</w:t>
        <w:t xml:space="preserve"> </w:t>
      </w:r>
      <w:r>
        <w:t xml:space="preserve"> </w:t>
      </w:r>
      <w:r>
        <w:t xml:space="preserve">The obligation to join a party and the right to intervene as a party in a child custody proceeding under this chapter are governed by the law of this State as in child custody proceedings between residents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§1749. Notice; opportunity to be heard; joinder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§1749. Notice; opportunity to be heard; joinder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§1749. NOTICE; OPPORTUNITY TO BE HEARD; JOINDER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