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Admissibility of results of genetic testing;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§1913. ADMISSIBILITY OF RESULTS OF GENETIC TESTING;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