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Enforcement of rights</w:t>
      </w:r>
    </w:p>
    <w:p>
      <w:pPr>
        <w:jc w:val="both"/>
        <w:spacing w:before="100" w:after="100"/>
        <w:ind w:start="360"/>
        <w:ind w:firstLine="360"/>
      </w:pPr>
      <w:r>
        <w:rPr/>
      </w:r>
      <w:r>
        <w:rPr/>
      </w:r>
      <w:r>
        <w:t xml:space="preserve">The obligee may enforce the right of support against the obligor, and the State or any political subdivision of the State may proceed on behalf of the obligee to enforce that right of support against the obligor. When the State or a political subdivision of the State furnishes support to an obligee, it has the same right as the obligee to whom the support was furnished, for the purpose of securing an award for past support and of obtaining continuing support.   An award of attorney's fees may be collected by any means available under the law, including, but not limited to, remedies available under </w:t>
      </w:r>
      <w:r>
        <w:t>Title 14</w:t>
      </w:r>
      <w:r>
        <w:t xml:space="preserve"> and </w:t>
      </w:r>
      <w:r>
        <w:t>Title 36, section 185‑A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§14 (AMD). PL 2019, c. 659,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Enforcement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Enforcement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§2102. ENFORCEMENT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