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State child support enforcement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State child support enforcement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§2108. STATE CHILD SUPPORT ENFORCEMENT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