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Purpose</w:t>
      </w:r>
    </w:p>
    <w:p>
      <w:pPr>
        <w:jc w:val="both"/>
        <w:spacing w:before="100" w:after="100"/>
        <w:ind w:start="360"/>
        <w:ind w:firstLine="360"/>
      </w:pPr>
      <w:r>
        <w:rPr/>
      </w:r>
      <w:r>
        <w:rPr/>
      </w:r>
      <w:r>
        <w:t xml:space="preserve">With this article, the Legislature intends to provide additional remedies for the enforcement of support for dependent children and spouses and former spouses caring for dependent children by establishing an alternative method directed to the real and personal property of the responsible parents. These remedies are in addition to, not in lieu of, existing law.</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