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Contempt</w:t>
      </w:r>
    </w:p>
    <w:p>
      <w:pPr>
        <w:jc w:val="both"/>
        <w:spacing w:before="100" w:after="100"/>
        <w:ind w:start="360"/>
        <w:ind w:firstLine="360"/>
      </w:pPr>
      <w:r>
        <w:rPr/>
      </w:r>
      <w:r>
        <w:rPr/>
      </w:r>
      <w:r>
        <w:t xml:space="preserve">Upon a motion to enforce a support order or costs, the court may issue summary process and may find the defaulting person guilty of contempt as provided under </w:t>
      </w:r>
      <w:r>
        <w:t>Title 14, 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§24 (AMD);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§24 (AMD). PL 1997, c. 466,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§2601.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