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Remedies cumulative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§2803. REMEDIES CUMULATIVE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