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3017</w:t>
        <w:t xml:space="preserve">.  </w:t>
      </w:r>
      <w:r>
        <w:rPr>
          <w:b/>
        </w:rPr>
        <w:t xml:space="preserve">Communications between tribunals</w:t>
      </w:r>
    </w:p>
    <w:p>
      <w:pPr>
        <w:jc w:val="both"/>
        <w:spacing w:before="100" w:after="100"/>
        <w:ind w:start="360"/>
        <w:ind w:firstLine="360"/>
      </w:pPr>
      <w:r>
        <w:rPr/>
      </w:r>
      <w:r>
        <w:rPr/>
      </w:r>
      <w:r>
        <w:t xml:space="preserve">A tribunal of this State may communicate with a tribunal outside this State in a record, in an e-mail or by telephone or other means to obtain information concerning the laws; the legal effect of a judgment, decree or order of that tribunal; and the status of a proceeding.  A tribunal of this State may furnish similar information by similar means to a tribunal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§26 (AMD). PL 2009, c. 95, §52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§3017. Communications between tribunals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§3017. Communications between tribunals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§3017. COMMUNICATIONS BETWEEN TRIBUNALS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