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Jurisdiction</w:t>
      </w:r>
    </w:p>
    <w:p>
      <w:pPr>
        <w:jc w:val="both"/>
        <w:spacing w:before="100" w:after="100"/>
        <w:ind w:start="360"/>
        <w:ind w:firstLine="360"/>
      </w:pPr>
      <w:r>
        <w:rPr/>
      </w:r>
      <w:r>
        <w:rPr/>
      </w:r>
      <w:r>
        <w:t xml:space="preserve">The District Court has jurisdiction over all proceedings brought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731, Pt. ZZZ, §37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§ZZZ37 (AMD). PL 1999, c. 731, §ZZZ42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§3502.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§3502.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