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Duties</w:t>
      </w:r>
    </w:p>
    <w:p>
      <w:pPr>
        <w:jc w:val="both"/>
        <w:spacing w:before="100" w:after="100"/>
        <w:ind w:start="360"/>
        <w:ind w:firstLine="360"/>
      </w:pPr>
      <w:r>
        <w:rPr>
          <w:b/>
        </w:rPr>
        <w:t>1</w:t>
        <w:t xml:space="preserve">.  </w:t>
      </w:r>
      <w:r>
        <w:rPr>
          <w:b/>
        </w:rPr>
        <w:t xml:space="preserve">Examine, evaluate and recommend.</w:t>
        <w:t xml:space="preserve"> </w:t>
      </w:r>
      <w:r>
        <w:t xml:space="preserve"> </w:t>
      </w:r>
      <w:r>
        <w:t xml:space="preserve">It is the duty of the commission:</w:t>
      </w:r>
    </w:p>
    <w:p>
      <w:pPr>
        <w:jc w:val="both"/>
        <w:spacing w:before="100" w:after="0"/>
        <w:ind w:start="720"/>
      </w:pPr>
      <w:r>
        <w:rPr/>
        <w:t>A</w:t>
        <w:t xml:space="preserve">.  </w:t>
      </w:r>
      <w:r>
        <w:rPr/>
      </w:r>
      <w:r>
        <w:t xml:space="preserve">To examine the sections of this Title that pertain to family law and to draft amendments to those sections as the commission considers advisable;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To evaluate the operation of this Title and to recommend amendments based on the evaluation;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To examine current laws pertaining to family law pleadings and to recommend changes based on the examination;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To examine any other aspects of Maine's family law, including substantive, procedural and administrative matters, that the commission considers relevant.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Propose changes.</w:t>
        <w:t xml:space="preserve"> </w:t>
      </w:r>
      <w:r>
        <w:t xml:space="preserve"> </w:t>
      </w:r>
      <w:r>
        <w:t xml:space="preserve">The commission may propose to the Legislature, at the start of each session, changes in the family laws and in related provisions as the commission considers appropriate.  The commission may also make recommendations to the Chief Justice of the Supreme Judicial Court, the Advisory Committee on Criminal Rules, the Advisory Committee on Civil Rules and to any other organization or committee whose affairs pertain to family law and its practice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§12 (AMD); PL 1997, c. 134,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134, §12 (AMD). PL 1997, c. 134,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