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Eligibility</w:t>
      </w:r>
    </w:p>
    <w:p>
      <w:pPr>
        <w:jc w:val="both"/>
        <w:spacing w:before="100" w:after="100"/>
        <w:ind w:start="360"/>
        <w:ind w:firstLine="360"/>
      </w:pPr>
      <w:r>
        <w:rPr/>
      </w:r>
      <w:r>
        <w:rPr/>
      </w:r>
      <w:r>
        <w:t xml:space="preserve">The following persons are eligible to seek relief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100"/>
        <w:ind w:start="360"/>
        <w:ind w:firstLine="360"/>
      </w:pPr>
      <w:r>
        <w:rPr>
          <w:b/>
        </w:rPr>
        <w:t>1</w:t>
        <w:t xml:space="preserve">.  </w:t>
      </w:r>
      <w:r>
        <w:rPr>
          <w:b/>
        </w:rPr>
        <w:t xml:space="preserve">Adult.</w:t>
        <w:t xml:space="preserve"> </w:t>
      </w:r>
      <w:r>
        <w:t xml:space="preserve"> </w:t>
      </w:r>
      <w:r>
        <w:t xml:space="preserve">An adult:</w:t>
      </w:r>
    </w:p>
    <w:p>
      <w:pPr>
        <w:jc w:val="both"/>
        <w:spacing w:before="100" w:after="0"/>
        <w:ind w:start="720"/>
      </w:pPr>
      <w:r>
        <w:rPr/>
        <w:t>A</w:t>
        <w:t xml:space="preserve">.  </w:t>
      </w:r>
      <w:r>
        <w:rPr/>
      </w:r>
      <w:r>
        <w:t xml:space="preserve">Who has been a victim of abuse as defined in </w:t>
      </w:r>
      <w:r>
        <w:t>section 4102, subsection 1</w:t>
      </w:r>
      <w:r>
        <w:t xml:space="preserve"> by a family or household member, a dating partner or an individual related by consanguinity or affinity;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Who has been a victim of conduct:</w:t>
      </w:r>
    </w:p>
    <w:p>
      <w:pPr>
        <w:jc w:val="both"/>
        <w:spacing w:before="100" w:after="0"/>
        <w:ind w:start="1080"/>
      </w:pPr>
      <w:r>
        <w:rPr/>
        <w:t>(</w:t>
        <w:t>1</w:t>
        <w:t xml:space="preserve">)  </w:t>
      </w:r>
      <w:r>
        <w:rPr/>
      </w:r>
      <w:r>
        <w:t xml:space="preserve">Described as stalking in </w:t>
      </w:r>
      <w:r>
        <w:t>Title 17‑A, section 210‑A</w:t>
      </w:r>
      <w:r>
        <w:t xml:space="preserve">;</w:t>
      </w:r>
    </w:p>
    <w:p>
      <w:pPr>
        <w:jc w:val="both"/>
        <w:spacing w:before="100" w:after="0"/>
        <w:ind w:start="1080"/>
      </w:pPr>
      <w:r>
        <w:rPr/>
        <w:t>(</w:t>
        <w:t>2</w:t>
        <w:t xml:space="preserve">)  </w:t>
      </w:r>
      <w:r>
        <w:rPr/>
      </w:r>
      <w:r>
        <w:t xml:space="preserve">Constituting any crime described in </w:t>
      </w:r>
      <w:r>
        <w:t>Title 17‑A, chapter 11</w:t>
      </w:r>
      <w:r>
        <w:t xml:space="preserve">;</w:t>
      </w:r>
    </w:p>
    <w:p>
      <w:pPr>
        <w:jc w:val="both"/>
        <w:spacing w:before="100" w:after="0"/>
        <w:ind w:start="1080"/>
      </w:pPr>
      <w:r>
        <w:rPr/>
        <w:t>(</w:t>
        <w:t>3</w:t>
        <w:t xml:space="preserve">)  </w:t>
      </w:r>
      <w:r>
        <w:rPr/>
      </w:r>
      <w:r>
        <w:t xml:space="preserve">Described as unauthorized dissemination of certain private images in </w:t>
      </w:r>
      <w:r>
        <w:t>Title 17‑A, section 511‑A</w:t>
      </w:r>
      <w:r>
        <w:t xml:space="preserve">;</w:t>
      </w:r>
    </w:p>
    <w:p>
      <w:pPr>
        <w:jc w:val="both"/>
        <w:spacing w:before="100" w:after="0"/>
        <w:ind w:start="1080"/>
      </w:pPr>
      <w:r>
        <w:rPr/>
        <w:t>(</w:t>
        <w:t>4</w:t>
        <w:t xml:space="preserve">)  </w:t>
      </w:r>
      <w:r>
        <w:rPr/>
      </w:r>
      <w:r>
        <w:t xml:space="preserve">Described as aggravated sex trafficking or sex trafficking in </w:t>
      </w:r>
      <w:r>
        <w:t>Title 17‑A, section 852</w:t>
      </w:r>
      <w:r>
        <w:t xml:space="preserve"> or </w:t>
      </w:r>
      <w:r>
        <w:t>853</w:t>
      </w:r>
      <w:r>
        <w:t xml:space="preserve">, respectively; or</w:t>
      </w:r>
    </w:p>
    <w:p>
      <w:pPr>
        <w:jc w:val="both"/>
        <w:spacing w:before="100" w:after="0"/>
        <w:ind w:start="1080"/>
      </w:pPr>
      <w:r>
        <w:rPr/>
        <w:t>(</w:t>
        <w:t>5</w:t>
        <w:t xml:space="preserve">)  </w:t>
      </w:r>
      <w:r>
        <w:rPr/>
      </w:r>
      <w:r>
        <w:t xml:space="preserve">Constituting a civil cause of action under </w:t>
      </w:r>
      <w:r>
        <w:t>Title 14, section 8305</w:t>
      </w:r>
      <w:r>
        <w:t xml:space="preserve">.</w:t>
      </w:r>
    </w:p>
    <w:p>
      <w:pPr>
        <w:jc w:val="both"/>
        <w:spacing w:before="100" w:after="0"/>
        <w:ind w:start="720"/>
      </w:pPr>
      <w:r>
        <w:rPr/>
      </w:r>
      <w:r>
        <w:rPr/>
      </w:r>
      <w:r>
        <w:t xml:space="preserve">For purposes of this paragraph, the conduct need not have been perpetrated by a family or household member, a dating partner or an individual related by consanguinity or affinity;</w:t>
      </w:r>
      <w:r>
        <w:t xml:space="preserve">  </w:t>
      </w:r>
      <w:r xmlns:wp="http://schemas.openxmlformats.org/drawingml/2010/wordprocessingDrawing" xmlns:w15="http://schemas.microsoft.com/office/word/2012/wordml">
        <w:rPr>
          <w:rFonts w:ascii="Arial" w:hAnsi="Arial" w:cs="Arial"/>
          <w:sz w:val="22"/>
          <w:szCs w:val="22"/>
        </w:rPr>
        <w:t xml:space="preserve">[PL 2023, c. 298,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§3 (AMD).]</w:t>
      </w:r>
    </w:p>
    <w:p>
      <w:pPr>
        <w:jc w:val="both"/>
        <w:spacing w:before="100" w:after="100"/>
        <w:ind w:start="360"/>
        <w:ind w:firstLine="360"/>
      </w:pPr>
      <w:r>
        <w:rPr>
          <w:b/>
        </w:rPr>
        <w:t>2</w:t>
        <w:t xml:space="preserve">.  </w:t>
      </w:r>
      <w:r>
        <w:rPr>
          <w:b/>
        </w:rPr>
        <w:t xml:space="preserve">Minor child.</w:t>
        <w:t xml:space="preserve"> </w:t>
      </w:r>
      <w:r>
        <w:t xml:space="preserve"> </w:t>
      </w:r>
      <w:r>
        <w:t xml:space="preserve">A person responsible for a child, as defined in </w:t>
      </w:r>
      <w:r>
        <w:t>Title 22, section 4002, subsection 9</w:t>
      </w:r>
      <w:r>
        <w:t xml:space="preserve">, or a representative of the department when a minor child has been:</w:t>
      </w:r>
    </w:p>
    <w:p>
      <w:pPr>
        <w:jc w:val="both"/>
        <w:spacing w:before="100" w:after="0"/>
        <w:ind w:start="720"/>
      </w:pPr>
      <w:r>
        <w:rPr/>
        <w:t>A</w:t>
        <w:t xml:space="preserve">.  </w:t>
      </w:r>
      <w:r>
        <w:rPr/>
      </w:r>
      <w:r>
        <w:t xml:space="preserve">A victim of abuse as defined in </w:t>
      </w:r>
      <w:r>
        <w:t>section 4102, subsection 1</w:t>
      </w:r>
      <w:r>
        <w:t xml:space="preserve"> by a family or household member, a dating partner or an individual related by consanguinity or affinity; or</w:t>
      </w:r>
      <w:r>
        <w:t xml:space="preserve">  </w:t>
      </w:r>
      <w:r xmlns:wp="http://schemas.openxmlformats.org/drawingml/2010/wordprocessingDrawing" xmlns:w15="http://schemas.microsoft.com/office/word/2012/wordml">
        <w:rPr>
          <w:rFonts w:ascii="Arial" w:hAnsi="Arial" w:cs="Arial"/>
          <w:sz w:val="22"/>
          <w:szCs w:val="22"/>
        </w:rPr>
        <w:t xml:space="preserve">[RR 2021, c. 2, Pt. A, §40 (COR).]</w:t>
      </w:r>
    </w:p>
    <w:p>
      <w:pPr>
        <w:jc w:val="both"/>
        <w:spacing w:before="100" w:after="0"/>
        <w:ind w:start="720"/>
      </w:pPr>
      <w:r>
        <w:rPr/>
        <w:t>B</w:t>
        <w:t xml:space="preserve">.  </w:t>
      </w:r>
      <w:r>
        <w:rPr/>
      </w:r>
      <w:r>
        <w:t xml:space="preserve">A victim of conduct:</w:t>
      </w:r>
    </w:p>
    <w:p>
      <w:pPr>
        <w:jc w:val="both"/>
        <w:spacing w:before="100" w:after="0"/>
        <w:ind w:start="1080"/>
      </w:pPr>
      <w:r>
        <w:rPr/>
        <w:t>(</w:t>
        <w:t>1</w:t>
        <w:t xml:space="preserve">)  </w:t>
      </w:r>
      <w:r>
        <w:rPr/>
      </w:r>
      <w:r>
        <w:t xml:space="preserve">Described as stalking in </w:t>
      </w:r>
      <w:r>
        <w:t>Title 17‑A, section 210‑A</w:t>
      </w:r>
      <w:r>
        <w:t xml:space="preserve">;</w:t>
      </w:r>
    </w:p>
    <w:p>
      <w:pPr>
        <w:jc w:val="both"/>
        <w:spacing w:before="100" w:after="0"/>
        <w:ind w:start="1080"/>
      </w:pPr>
      <w:r>
        <w:rPr/>
        <w:t>(</w:t>
        <w:t>2</w:t>
        <w:t xml:space="preserve">)  </w:t>
      </w:r>
      <w:r>
        <w:rPr/>
      </w:r>
      <w:r>
        <w:t xml:space="preserve">Constituting any crime described in </w:t>
      </w:r>
      <w:r>
        <w:t>Title 17‑A, chapter 11</w:t>
      </w:r>
      <w:r>
        <w:t xml:space="preserve">;</w:t>
      </w:r>
    </w:p>
    <w:p>
      <w:pPr>
        <w:jc w:val="both"/>
        <w:spacing w:before="100" w:after="0"/>
        <w:ind w:start="1080"/>
      </w:pPr>
      <w:r>
        <w:rPr/>
        <w:t>(</w:t>
        <w:t>3</w:t>
        <w:t xml:space="preserve">)  </w:t>
      </w:r>
      <w:r>
        <w:rPr/>
      </w:r>
      <w:r>
        <w:t xml:space="preserve">Described as unauthorized dissemination of certain private images in </w:t>
      </w:r>
      <w:r>
        <w:t>Title 17‑A, section 511‑A</w:t>
      </w:r>
      <w:r>
        <w:t xml:space="preserve">;</w:t>
      </w:r>
    </w:p>
    <w:p>
      <w:pPr>
        <w:jc w:val="both"/>
        <w:spacing w:before="100" w:after="0"/>
        <w:ind w:start="1080"/>
      </w:pPr>
      <w:r>
        <w:rPr/>
        <w:t>(</w:t>
        <w:t>4</w:t>
        <w:t xml:space="preserve">)  </w:t>
      </w:r>
      <w:r>
        <w:rPr/>
      </w:r>
      <w:r>
        <w:t xml:space="preserve">Described as aggravated sex trafficking or sex trafficking in </w:t>
      </w:r>
      <w:r>
        <w:t>Title 17‑A, section 852</w:t>
      </w:r>
      <w:r>
        <w:t xml:space="preserve"> or </w:t>
      </w:r>
      <w:r>
        <w:t>853</w:t>
      </w:r>
      <w:r>
        <w:t xml:space="preserve">, respectively;</w:t>
      </w:r>
    </w:p>
    <w:p>
      <w:pPr>
        <w:jc w:val="both"/>
        <w:spacing w:before="100" w:after="0"/>
        <w:ind w:start="1080"/>
      </w:pPr>
      <w:r>
        <w:rPr/>
        <w:t>(</w:t>
        <w:t>5</w:t>
        <w:t xml:space="preserve">)  </w:t>
      </w:r>
      <w:r>
        <w:rPr/>
      </w:r>
      <w:r>
        <w:t xml:space="preserve">Described as sexual exploitation of a minor or dissemination of sexually explicit material in </w:t>
      </w:r>
      <w:r>
        <w:t>Title 17‑A, section 282</w:t>
      </w:r>
      <w:r>
        <w:t xml:space="preserve"> or </w:t>
      </w:r>
      <w:r>
        <w:t>283</w:t>
      </w:r>
      <w:r>
        <w:t xml:space="preserve">, respectively;</w:t>
      </w:r>
    </w:p>
    <w:p>
      <w:pPr>
        <w:jc w:val="both"/>
        <w:spacing w:before="100" w:after="0"/>
        <w:ind w:start="1080"/>
      </w:pPr>
      <w:r>
        <w:rPr/>
        <w:t>(</w:t>
        <w:t>6</w:t>
        <w:t xml:space="preserve">)  </w:t>
      </w:r>
      <w:r>
        <w:rPr/>
      </w:r>
      <w:r>
        <w:t xml:space="preserve">Described as harassment by telephone or by electronic communication device in </w:t>
      </w:r>
      <w:r>
        <w:t>Title 17‑A, section 506, subsection 1, paragraph A‑1</w:t>
      </w:r>
      <w:r>
        <w:t xml:space="preserve"> or </w:t>
      </w:r>
      <w:r>
        <w:t>A‑2</w:t>
      </w:r>
      <w:r>
        <w:t xml:space="preserve">; or</w:t>
      </w:r>
    </w:p>
    <w:p>
      <w:pPr>
        <w:jc w:val="both"/>
        <w:spacing w:before="100" w:after="0"/>
        <w:ind w:start="1080"/>
      </w:pPr>
      <w:r>
        <w:rPr/>
        <w:t>(</w:t>
        <w:t>7</w:t>
        <w:t xml:space="preserve">)  </w:t>
      </w:r>
      <w:r>
        <w:rPr/>
      </w:r>
      <w:r>
        <w:t xml:space="preserve">Constituting a civil cause of action under </w:t>
      </w:r>
      <w:r>
        <w:t>Title 14, section 8305</w:t>
      </w:r>
      <w:r>
        <w:t xml:space="preserve">.</w:t>
      </w:r>
    </w:p>
    <w:p>
      <w:pPr>
        <w:jc w:val="both"/>
        <w:spacing w:before="100" w:after="0"/>
        <w:ind w:start="720"/>
      </w:pPr>
      <w:r>
        <w:rPr/>
      </w:r>
      <w:r>
        <w:rPr/>
      </w:r>
      <w:r>
        <w:t xml:space="preserve">For purposes of this paragraph, the conduct need not have been perpetrated by a family or household member, a dating partner or an individual related by consanguinity or affinity;</w:t>
      </w:r>
      <w:r>
        <w:t xml:space="preserve">  </w:t>
      </w:r>
      <w:r xmlns:wp="http://schemas.openxmlformats.org/drawingml/2010/wordprocessingDrawing" xmlns:w15="http://schemas.microsoft.com/office/word/2012/wordml">
        <w:rPr>
          <w:rFonts w:ascii="Arial" w:hAnsi="Arial" w:cs="Arial"/>
          <w:sz w:val="22"/>
          <w:szCs w:val="22"/>
        </w:rPr>
        <w:t xml:space="preserve">[PL 2023, c. 298,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§§4-6 (AMD).]</w:t>
      </w:r>
    </w:p>
    <w:p>
      <w:pPr>
        <w:jc w:val="both"/>
        <w:spacing w:before="100" w:after="100"/>
        <w:ind w:start="360"/>
        <w:ind w:firstLine="360"/>
      </w:pPr>
      <w:r>
        <w:rPr>
          <w:b/>
        </w:rPr>
        <w:t>3</w:t>
        <w:t xml:space="preserve">.  </w:t>
      </w:r>
      <w:r>
        <w:rPr>
          <w:b/>
        </w:rPr>
        <w:t xml:space="preserve">Older or dependent adult.</w:t>
        <w:t xml:space="preserve"> </w:t>
      </w:r>
      <w:r>
        <w:t xml:space="preserve"> </w:t>
      </w:r>
      <w:r>
        <w:t xml:space="preserve">An adult who meets the eligibility requirements in </w:t>
      </w:r>
      <w:r>
        <w:t>paragraphs A</w:t>
      </w:r>
      <w:r>
        <w:t xml:space="preserve"> and </w:t>
      </w:r>
      <w:r>
        <w:t>B</w:t>
      </w:r>
      <w:r>
        <w:t xml:space="preserve"> as follows:</w:t>
      </w:r>
    </w:p>
    <w:p>
      <w:pPr>
        <w:jc w:val="both"/>
        <w:spacing w:before="100" w:after="0"/>
        <w:ind w:start="720"/>
      </w:pPr>
      <w:r>
        <w:rPr/>
        <w:t>A</w:t>
        <w:t xml:space="preserve">.  </w:t>
      </w:r>
      <w:r>
        <w:rPr/>
      </w:r>
      <w:r>
        <w:t xml:space="preserve">The adult is one of the following:</w:t>
      </w:r>
    </w:p>
    <w:p>
      <w:pPr>
        <w:jc w:val="both"/>
        <w:spacing w:before="100" w:after="0"/>
        <w:ind w:start="1080"/>
      </w:pPr>
      <w:r>
        <w:rPr/>
        <w:t>(</w:t>
        <w:t>1</w:t>
        <w:t xml:space="preserve">)  </w:t>
      </w:r>
      <w:r>
        <w:rPr/>
      </w:r>
      <w:r>
        <w:t xml:space="preserve">Sixty years of age or older;</w:t>
      </w:r>
    </w:p>
    <w:p>
      <w:pPr>
        <w:jc w:val="both"/>
        <w:spacing w:before="100" w:after="0"/>
        <w:ind w:start="1080"/>
      </w:pPr>
      <w:r>
        <w:rPr/>
        <w:t>(</w:t>
        <w:t>2</w:t>
        <w:t xml:space="preserve">)  </w:t>
      </w:r>
      <w:r>
        <w:rPr/>
      </w:r>
      <w:r>
        <w:t xml:space="preserve">A dependent adult, as defined in </w:t>
      </w:r>
      <w:r>
        <w:t>Title 22, section 3472, subsection 6</w:t>
      </w:r>
      <w:r>
        <w:t xml:space="preserve">; or</w:t>
      </w:r>
    </w:p>
    <w:p>
      <w:pPr>
        <w:jc w:val="both"/>
        <w:spacing w:before="100" w:after="0"/>
        <w:ind w:start="1080"/>
      </w:pPr>
      <w:r>
        <w:rPr/>
        <w:t>(</w:t>
        <w:t>3</w:t>
        <w:t xml:space="preserve">)  </w:t>
      </w:r>
      <w:r>
        <w:rPr/>
      </w:r>
      <w:r>
        <w:t xml:space="preserve">An incapacitated adult, as defined in </w:t>
      </w:r>
      <w:r>
        <w:t>Title 22, section 3472, subsection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adult has been the victim of abuse as defined in </w:t>
      </w:r>
      <w:r>
        <w:t>section 4102, subsection 1</w:t>
      </w:r>
      <w:r>
        <w:t xml:space="preserve">, this chapter or </w:t>
      </w:r>
      <w:r>
        <w:t>Title 22, section 3472, subsection 1</w:t>
      </w:r>
      <w:r>
        <w:t xml:space="preserve"> by an extended family member or unpaid care provider.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The adult victim, the adult victim's legal guardian or a representative of the department may seek relief.</w:t>
      </w:r>
    </w:p>
    <w:p>
      <w:pPr>
        <w:jc w:val="both"/>
        <w:spacing w:before="100" w:after="0"/>
        <w:ind w:start="360"/>
      </w:pPr>
      <w:r>
        <w:rPr/>
      </w:r>
      <w:r>
        <w:rPr/>
      </w:r>
      <w:r>
        <w:t xml:space="preserve">For the purposes of this subsection, "extended family member" includes, but is not limited to, a person who is related to the victim by blood, marriage or adoption whether or not the person resides or has ever resided with the victim.</w:t>
      </w:r>
    </w:p>
    <w:p>
      <w:pPr>
        <w:jc w:val="both"/>
        <w:spacing w:before="100" w:after="0"/>
        <w:ind w:start="360"/>
      </w:pPr>
      <w:r>
        <w:rPr/>
      </w:r>
      <w:r>
        <w:rPr/>
      </w:r>
      <w:r>
        <w:t xml:space="preserve">For the purposes of this subsection, "unpaid care provider" includes, but is not limited to, a caretaker who voluntarily provides full, intermittent or occasional personal care to the adult victim in the victim's home similar to the way a family member would provide personal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RR 2021, c. 2, Pt. A, §40 (COR). PL 2023, c. 298,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§4103.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§4103.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