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4112</w:t>
        <w:t xml:space="preserve">.  </w:t>
      </w:r>
      <w:r>
        <w:rPr>
          <w:b/>
        </w:rPr>
        <w:t xml:space="preserve">Sealing</w:t>
      </w:r>
    </w:p>
    <w:p>
      <w:pPr>
        <w:jc w:val="both"/>
        <w:spacing w:before="100" w:after="0"/>
        <w:ind w:start="360"/>
        <w:ind w:firstLine="360"/>
      </w:pPr>
      <w:r>
        <w:rPr>
          <w:b/>
        </w:rPr>
        <w:t>1</w:t>
        <w:t xml:space="preserve">.  </w:t>
      </w:r>
      <w:r>
        <w:rPr>
          <w:b/>
        </w:rPr>
        <w:t xml:space="preserve">Identifying information.</w:t>
        <w:t xml:space="preserve"> </w:t>
      </w:r>
      <w:r>
        <w:t xml:space="preserve"> </w:t>
      </w:r>
      <w:r>
        <w:t xml:space="preserve">If a party alleges in an affidavit or a pleading under oath that the health, safety or liberty of a party or child would be jeopardized by disclosure of identifying information, the information must be sealed by the clerk of the court and not disclosed to the other party or to the public, unless the court orders the disclosure to be made after a hearing in which the court takes into consideration the health, safety or liberty of the party or child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Private images.</w:t>
        <w:t xml:space="preserve"> </w:t>
      </w:r>
      <w:r>
        <w:t xml:space="preserve"> </w:t>
      </w:r>
      <w:r>
        <w:t xml:space="preserve">In any proceeding under this chapter, access to and dissemination of certain private images as described in </w:t>
      </w:r>
      <w:r>
        <w:t>Title 17‑A, section 511‑A</w:t>
      </w:r>
      <w:r>
        <w:t xml:space="preserve">, and any written information describing and directly pertaining to the images contained in court records are governed by rule or administrative order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§4112. Sealing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§4112. Sealing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§4112. SEALING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