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Lack of jurisdiction 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Lack of jurisdiction 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§657. LACK OF JURISDICTION 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