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Beginning the first Wednesday of January 1987, the Governor is entitled to receive an annual salary of $70,000.  Beginning the first Wednesday of January 2027, the Governor is entitled to receive an annual salary of $125,000.</w:t>
      </w:r>
      <w:r>
        <w:t xml:space="preserve">  </w:t>
      </w:r>
      <w:r xmlns:wp="http://schemas.openxmlformats.org/drawingml/2010/wordprocessingDrawing" xmlns:w15="http://schemas.microsoft.com/office/word/2012/wordml">
        <w:rPr>
          <w:rFonts w:ascii="Arial" w:hAnsi="Arial" w:cs="Arial"/>
          <w:sz w:val="22"/>
          <w:szCs w:val="22"/>
        </w:rPr>
        <w:t xml:space="preserve">[PL 2023, c. 488, §1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PL 2023, c. 488,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Residence; office hours; secretary;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Residence; office hours; secretary;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 RESIDENCE; OFFICE HOURS; SECRETARY;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