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$40,000 annually.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2023, c. 488,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PL 2023, c. 488,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Expense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§2. EXPENSE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