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Discharge</w:t>
      </w:r>
    </w:p>
    <w:p>
      <w:pPr>
        <w:jc w:val="both"/>
        <w:spacing w:before="100" w:after="100"/>
        <w:ind w:start="360"/>
        <w:ind w:firstLine="360"/>
      </w:pPr>
      <w:r>
        <w:rPr/>
      </w:r>
      <w:r>
        <w:rPr/>
      </w:r>
      <w:r>
        <w:t xml:space="preserve">A school board may discharge a superintendent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may be discharged only:</w:t>
      </w:r>
    </w:p>
    <w:p>
      <w:pPr>
        <w:jc w:val="both"/>
        <w:spacing w:before="100" w:after="0"/>
        <w:ind w:start="720"/>
      </w:pPr>
      <w:r>
        <w:rPr/>
        <w:t>A</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After due notice and investigation;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By a majority vote of the full membership of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Salary.</w:t>
        <w:t xml:space="preserve"> </w:t>
      </w:r>
      <w:r>
        <w:t xml:space="preserve"> </w:t>
      </w:r>
      <w:r>
        <w:t xml:space="preserve">On discharge, the superintendent's salary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Appeal.</w:t>
        <w:t xml:space="preserve"> </w:t>
      </w:r>
      <w:r>
        <w:t xml:space="preserve"> </w:t>
      </w:r>
      <w:r>
        <w:t xml:space="preserve">The superintendent may appeal the school board's decision to the commissioner.  The commissioner shall hold a hearing as part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§1052.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