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Office and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§1054. OFFICE AND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