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§10911. Report on Maine teacher residency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§10911. Report on Maine teacher residency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§10911. REPORT ON MAINE TEACHER RESIDENCY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