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§10956. SECURITY FOR INDEBTEDNESS;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