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Duties of board</w:t>
      </w:r>
    </w:p>
    <w:p>
      <w:pPr>
        <w:jc w:val="both"/>
        <w:spacing w:before="100" w:after="100"/>
        <w:ind w:start="360"/>
        <w:ind w:firstLine="360"/>
      </w:pPr>
      <w:r>
        <w:rPr/>
      </w:r>
      <w:r>
        <w:rPr/>
      </w:r>
      <w:r>
        <w:t xml:space="preserve">The board on the part of the State shall obtain accurate accounts of all the board's receipts and disbursements and shall report to the Governor and the Commissioner of Administrative and Financial Services annually on or before the 15th day of September, setting forth in such detail as the commissioner may require the transactions of the board for the fiscal year ending on the preceding June 30th.  They shall include in such report recommendations for any legislation as may be necessary or desirable to carry out the intent and purposes of the New England Higher Education Compact among the states joining.</w:t>
      </w:r>
      <w:r>
        <w:t xml:space="preserve">  </w:t>
      </w:r>
      <w:r xmlns:wp="http://schemas.openxmlformats.org/drawingml/2010/wordprocessingDrawing" xmlns:w15="http://schemas.microsoft.com/office/word/2012/wordml">
        <w:rPr>
          <w:rFonts w:ascii="Arial" w:hAnsi="Arial" w:cs="Arial"/>
          <w:sz w:val="22"/>
          <w:szCs w:val="22"/>
        </w:rPr>
        <w:t xml:space="preserve">[PL 1991, c. 780, Pt. Y,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§A91 (AMD). PL 1991, c. 780, §Y117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