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11402</w:t>
        <w:t xml:space="preserve">.  </w:t>
      </w:r>
      <w:r>
        <w:rPr>
          <w:b/>
        </w:rPr>
        <w:t xml:space="preserve">Loan programs administered</w:t>
      </w:r>
    </w:p>
    <w:p>
      <w:pPr>
        <w:jc w:val="both"/>
        <w:spacing w:before="100" w:after="100"/>
        <w:ind w:start="360"/>
        <w:ind w:firstLine="360"/>
      </w:pPr>
      <w:r>
        <w:rPr/>
      </w:r>
      <w:r>
        <w:rPr/>
      </w:r>
      <w:r>
        <w:t xml:space="preserve">In accordance with the federal Higher Education Act of 1965, 20 United States Code, Chapter 28, Subchapter IV, Part B, as amended, the Finance Authority of Maine shall administer the Robert T. Stafford Loan Program, the Parent Loans to Undergraduate Students Program and the Supplemental Loans for Students Program.  To this end, the faith and credit of the State is pledged consistent with the terms and limitations of the Constitution of Maine, Article VIII, Part First, Section 2.</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§11402. Loan programs administered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§11402. Loan programs administered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§11402. LOAN PROGRAMS ADMINISTERED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