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11481</w:t>
        <w:t xml:space="preserve">.  </w:t>
      </w:r>
      <w:r>
        <w:rPr>
          <w:b/>
        </w:rPr>
        <w:t xml:space="preserve">Release of information</w:t>
      </w:r>
    </w:p>
    <w:p>
      <w:pPr>
        <w:jc w:val="both"/>
        <w:spacing w:before="100" w:after="100"/>
        <w:ind w:start="360"/>
        <w:ind w:firstLine="360"/>
      </w:pPr>
      <w:r>
        <w:rPr/>
      </w:r>
      <w:r>
        <w:rPr/>
      </w:r>
      <w:r>
        <w:t xml:space="preserve">Notwithstanding any other provision of law, including, without limitation, </w:t>
      </w:r>
      <w:r>
        <w:t>Title 1, chapter 13, subchapter I</w:t>
      </w:r>
      <w:r>
        <w:t xml:space="preserve"> and </w:t>
      </w:r>
      <w:r>
        <w:t>Title 10, section 975‑A</w:t>
      </w:r>
      <w:r>
        <w:t xml:space="preserve">, the authority may provide information regarding individual participation accounts as required by federal law and laws of the state of residence of any participant or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§11481. Release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§11481. Release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§11481. RELEASE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