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11482</w:t>
        <w:t xml:space="preserve">.  </w:t>
      </w:r>
      <w:r>
        <w:rPr>
          <w:b/>
        </w:rPr>
        <w:t xml:space="preserve">Exemption from registration</w:t>
      </w:r>
    </w:p>
    <w:p>
      <w:pPr>
        <w:jc w:val="both"/>
        <w:spacing w:before="100" w:after="100"/>
        <w:ind w:start="360"/>
        <w:ind w:firstLine="360"/>
      </w:pPr>
      <w:r>
        <w:rPr/>
      </w:r>
      <w:r>
        <w:rPr/>
      </w:r>
      <w:r>
        <w:t xml:space="preserve">A participation agreement offered pursuant to this chapter is not a security as defined in </w:t>
      </w:r>
      <w:r>
        <w:t>Title 32, section 16102, subsection 28</w:t>
      </w:r>
      <w:r>
        <w:t xml:space="preserve">.  The authority may obtain written advice of legal counsel or written advice from the United States Securities and Exchange Commission, or both, that the offering of a participation agreement is not subject to federal securities laws but is in compliance with those laws and is not in violation of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2005, c. 65, Pt. C,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2005, c. 65, §C9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§11482. Exemption from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§11482. Exemption from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§11482. EXEMPTION FROM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