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11485</w:t>
        <w:t xml:space="preserve">.  </w:t>
      </w:r>
      <w:r>
        <w:rPr>
          <w:b/>
        </w:rPr>
        <w:t xml:space="preserve">Rulemaking</w:t>
      </w:r>
    </w:p>
    <w:p>
      <w:pPr>
        <w:jc w:val="both"/>
        <w:spacing w:before="100" w:after="100"/>
        <w:ind w:start="360"/>
        <w:ind w:firstLine="360"/>
      </w:pPr>
      <w:r>
        <w:rPr/>
      </w:r>
      <w:r>
        <w:rPr/>
      </w:r>
      <w:r>
        <w:t xml:space="preserve">The authority shall establish rules for the implementation of the program established by this chapter, including rules establishing fees and penalties and rules necessary to ensure treatment as a qualified tuition program for federal tax purposes.  Rules adopted pursuant to this section, including those setting fees and penalties,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§11485.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