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 TRUST AGREEMENT; PLEDGE OF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