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11498</w:t>
        <w:t xml:space="preserve">.  </w:t>
      </w:r>
      <w:r>
        <w:rPr>
          <w:b/>
        </w:rPr>
        <w:t xml:space="preserve">Tax exemption</w:t>
      </w:r>
    </w:p>
    <w:p>
      <w:pPr>
        <w:jc w:val="both"/>
        <w:spacing w:before="100" w:after="100"/>
        <w:ind w:start="360"/>
        <w:ind w:firstLine="360"/>
      </w:pPr>
      <w:r>
        <w:rPr/>
      </w:r>
      <w:r>
        <w:rPr/>
      </w:r>
      <w:r>
        <w:t xml:space="preserve">Bonds issued under this chapter constitute a proper public purpose and the securities, their transfer and the income from them, including any profits made on their sale, are at all times exempt from taxation within the State, whether or not those securities, their transfer or the income from them, including any profits made on their sale, are subject to federal taxation.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§11498.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§11498.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§11498.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