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11613</w:t>
        <w:t xml:space="preserve">.  </w:t>
      </w:r>
      <w:r>
        <w:rPr>
          <w:b/>
        </w:rPr>
        <w:t xml:space="preserve">Determination of need</w:t>
      </w:r>
    </w:p>
    <w:p>
      <w:pPr>
        <w:jc w:val="both"/>
        <w:spacing w:before="100" w:after="100"/>
        <w:ind w:start="360"/>
        <w:ind w:firstLine="360"/>
      </w:pPr>
      <w:r>
        <w:rPr/>
      </w:r>
      <w:r>
        <w:rPr/>
      </w:r>
      <w:r>
        <w:t xml:space="preserve">The authority shall establish the need of a student for a Maine State Grant for an academic year for which the student applies.  In doing so, the authority shall consider the cost of attendance of the student, the student aid index and estimated student financial assistance not received under this program. The total cost determined by these factors may not exceed the cost of attendance at the institution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2023, c. 23, §3 (AMD).]</w:t>
      </w:r>
    </w:p>
    <w:p>
      <w:pPr>
        <w:jc w:val="both"/>
        <w:spacing w:before="100" w:after="100"/>
        <w:ind w:start="360"/>
        <w:ind w:firstLine="360"/>
      </w:pPr>
      <w:r>
        <w:rPr>
          <w:b/>
        </w:rPr>
        <w:t>1</w:t>
        <w:t xml:space="preserve">.  </w:t>
      </w:r>
      <w:r>
        <w:rPr>
          <w:b/>
        </w:rPr>
        <w:t xml:space="preserve">Rules.</w:t>
        <w:t xml:space="preserve"> </w:t>
      </w:r>
      <w:r>
        <w:t xml:space="preserve"> </w:t>
      </w:r>
      <w:r>
        <w:t xml:space="preserve">The authority shall establish standard methods by rules adopted in accordance with the Maine Administrative Procedure Act, </w:t>
      </w:r>
      <w:r>
        <w:t>Title 5, chapter 375</w:t>
      </w:r>
      <w:r>
        <w:t xml:space="preserve">, to determine:</w:t>
      </w:r>
    </w:p>
    <w:p>
      <w:pPr>
        <w:jc w:val="both"/>
        <w:spacing w:before="100" w:after="0"/>
        <w:ind w:start="720"/>
      </w:pPr>
      <w:r>
        <w:rPr/>
        <w:t>A</w:t>
        <w:t xml:space="preserve">.  </w:t>
      </w:r>
      <w:r>
        <w:rPr/>
      </w:r>
      <w:r>
        <w:t xml:space="preserve">The parental contribution;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The student and spouse contribution.</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pPr>
      <w:r>
        <w:rPr/>
      </w:r>
      <w:r>
        <w:rPr/>
      </w:r>
      <w:r>
        <w:t xml:space="preserve">These standard methods shall consider all income, assets and any other resources available to the parents, student and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§4 (RP).]</w:t>
      </w:r>
    </w:p>
    <w:p>
      <w:pPr>
        <w:jc w:val="both"/>
        <w:spacing w:before="100" w:after="100"/>
        <w:ind w:start="360"/>
        <w:ind w:firstLine="360"/>
      </w:pPr>
      <w:r>
        <w:rPr>
          <w:b/>
        </w:rPr>
        <w:t>3</w:t>
        <w:t xml:space="preserve">.  </w:t>
      </w:r>
      <w:r>
        <w:rPr>
          <w:b/>
        </w:rPr>
        <w:t xml:space="preserve">Cost of attendance.</w:t>
        <w:t xml:space="preserve"> </w:t>
      </w:r>
      <w:r>
        <w:t xml:space="preserve"> </w:t>
      </w:r>
      <w:r>
        <w:t xml:space="preserve">In determining the cost of attendance to determine eligibility under this chapter, the authority shall include the following:</w:t>
      </w:r>
    </w:p>
    <w:p>
      <w:pPr>
        <w:jc w:val="both"/>
        <w:spacing w:before="100" w:after="0"/>
        <w:ind w:start="720"/>
      </w:pPr>
      <w:r>
        <w:rPr/>
        <w:t>A</w:t>
        <w:t xml:space="preserve">.  </w:t>
      </w:r>
      <w:r>
        <w:rPr/>
      </w:r>
      <w:r>
        <w:t xml:space="preserve">Tuition and required fees charged to all full-time students;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Standard room and board costs charged by the University of Maine to calculate room and board costs of applicants;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C</w:t>
        <w:t xml:space="preserve">.  </w:t>
      </w:r>
      <w:r>
        <w:rPr/>
      </w:r>
      <w:r>
        <w:t xml:space="preserve">Books and personal expenses or other amounts determined by the authority to be appropriate.</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612, §4 (AMD). PL 2001, c. 70, §7 (AMD). PL 2001, c. 480, §1 (AMD). PL 2003, c. 103, §1 (AMD). PL 2023, c. 23,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§11613. Determination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§11613. Determination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§11613. DETERMINATION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