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§11615. Publication of grant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§11615. Publication of grant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§11615. PUBLICATION OF GRANT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