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11670</w:t>
        <w:t xml:space="preserve">.  </w:t>
      </w:r>
      <w:r>
        <w:rPr>
          <w:b/>
        </w:rPr>
        <w:t xml:space="preserve">Quality Child Care Education Scholarship fund</w:t>
      </w:r>
    </w:p>
    <w:p>
      <w:pPr>
        <w:jc w:val="both"/>
        <w:spacing w:before="100" w:after="100"/>
        <w:ind w:start="360"/>
        <w:ind w:firstLine="360"/>
      </w:pPr>
      <w:r>
        <w:rPr/>
      </w:r>
      <w:r>
        <w:rPr/>
      </w:r>
      <w:r>
        <w:t xml:space="preserve">The Quality Child Care Education Scholarship Fund is created and established as a nonlapsing fund under the jurisdiction and control of the Finance Authority of Maine.  All revenues credited to this fund must be distributed as scholarships based on financial need for residents of the State who are enrolled in one or more courses related to early childhood education or child development at accredited institutions of higher education or at course-offering institutions that have articulated agreements with accredited institutions of higher education.  The Finance Authority of Maine shall award scholarships and adopt rules for determining eligibility, amounts, terms and conditions of scholarships.  Interest earned on amounts in the fund may be used for the costs of administering the scholarships.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783,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§OOO5 (NEW). PL 1999, c. 783,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§11670. Quality Child Care Education Scholarship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§11670. Quality Child Care Education Scholarship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§11670. QUALITY CHILD CARE EDUCATION SCHOLARSHIP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