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12710</w:t>
        <w:t xml:space="preserve">.  </w:t>
      </w:r>
      <w:r>
        <w:rPr>
          <w:b/>
        </w:rPr>
        <w:t xml:space="preserve">Maine Community College System Office</w:t>
      </w:r>
    </w:p>
    <w:p>
      <w:pPr>
        <w:jc w:val="both"/>
        <w:spacing w:before="100" w:after="100"/>
        <w:ind w:start="360"/>
        <w:ind w:firstLine="360"/>
      </w:pPr>
      <w:r>
        <w:rPr/>
      </w:r>
      <w:r>
        <w:rPr/>
      </w:r>
      <w:r>
        <w:t xml:space="preserve">The Maine Community College System Office shall implement the policies of the board of trustees and shall provide staff and technical assistance to each college and state-level coordination and leadership to the system.</w:t>
      </w:r>
      <w:r>
        <w:t xml:space="preserve">  </w:t>
      </w:r>
      <w:r xmlns:wp="http://schemas.openxmlformats.org/drawingml/2010/wordprocessingDrawing" xmlns:w15="http://schemas.microsoft.com/office/word/2012/wordml">
        <w:rPr>
          <w:rFonts w:ascii="Arial" w:hAnsi="Arial" w:cs="Arial"/>
          <w:sz w:val="22"/>
          <w:szCs w:val="22"/>
        </w:rPr>
        <w:t xml:space="preserve">[PL 1989, c. 443, §46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§5 (AMD). PL 1989, c. 443, §46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§12710. Maine Community College System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§12710. Maine Community College System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§12710. MAINE COMMUNITY COLLEGE SYSTEM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