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82. Adoption of policies and relate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2. Adoption of policies and relate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2. ADOPTION OF POLICIES AND RELATE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