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13011-A</w:t>
        <w:t xml:space="preserve">.  </w:t>
      </w:r>
      <w:r>
        <w:rPr>
          <w:b/>
        </w:rPr>
        <w:t xml:space="preserve">Certification extension for family medical leave</w:t>
      </w:r>
    </w:p>
    <w:p>
      <w:pPr>
        <w:jc w:val="both"/>
        <w:spacing w:before="100" w:after="100"/>
        <w:ind w:start="360"/>
        <w:ind w:firstLine="360"/>
      </w:pPr>
      <w:r>
        <w:rPr/>
      </w:r>
      <w:r>
        <w:rPr/>
      </w:r>
      <w:r>
        <w:t xml:space="preserve">Notwithstanding the term of a conditional or professional certificate under this chapter, upon the request of a school administrative unit, the commissioner shall grant an extension on an individual's conditional or professional certificate if the individual uses family medical leave during the final year of the individual's certificate and the school administrative unit provides the commissioner with sufficient proof of the use of family medical leave.  An extension under this section is for the same number of days as the family medical leave used during the final year of the individual's certificate.  For the purposes of this section, "family medical leave" has the same meaning as in </w:t>
      </w:r>
      <w:r>
        <w:t>Title 26, section 843,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§13011-A. Certification extension for family medical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§13011-A. Certification extension for family medical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§13011-A. CERTIFICATION EXTENSION FOR FAMILY MEDICAL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