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13402</w:t>
        <w:t xml:space="preserve">.  </w:t>
      </w:r>
      <w:r>
        <w:rPr>
          <w:b/>
        </w:rPr>
        <w:t xml:space="preserve">Minimum salaries</w:t>
      </w:r>
    </w:p>
    <w:p>
      <w:pPr>
        <w:jc w:val="both"/>
        <w:spacing w:before="100" w:after="100"/>
        <w:ind w:start="360"/>
        <w:ind w:firstLine="360"/>
      </w:pPr>
      <w:r>
        <w:rPr>
          <w:b/>
        </w:rPr>
        <w:t>1</w:t>
        <w:t xml:space="preserve">.  </w:t>
      </w:r>
      <w:r>
        <w:rPr>
          <w:b/>
        </w:rPr>
        <w:t xml:space="preserve">Minimum salary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§2 (RP).]</w:t>
      </w:r>
    </w:p>
    <w:p>
      <w:pPr>
        <w:jc w:val="both"/>
        <w:spacing w:before="100" w:after="100"/>
        <w:ind w:start="360"/>
        <w:ind w:firstLine="360"/>
      </w:pPr>
      <w:r>
        <w:rPr>
          <w:b/>
        </w:rPr>
        <w:t>2</w:t>
        <w:t xml:space="preserve">.  </w:t>
      </w:r>
      <w:r>
        <w:rPr>
          <w:b/>
        </w:rPr>
        <w:t xml:space="preserve">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§3 (RP).]</w:t>
      </w:r>
    </w:p>
    <w:p>
      <w:pPr>
        <w:jc w:val="both"/>
        <w:spacing w:before="100" w:after="0"/>
        <w:ind w:start="360"/>
        <w:ind w:firstLine="360"/>
      </w:pPr>
      <w:r>
        <w:rPr>
          <w:b/>
        </w:rPr>
        <w:t>3</w:t>
        <w:t xml:space="preserve">.  </w:t>
      </w:r>
      <w:r>
        <w:rPr>
          <w:b/>
        </w:rPr>
        <w:t xml:space="preserve">Substitute teachers.</w:t>
        <w:t xml:space="preserve"> </w:t>
      </w:r>
      <w:r>
        <w:t xml:space="preserve"> </w:t>
      </w:r>
      <w:r>
        <w:t xml:space="preserve">Substitute teachers must be compensated at the rate of not less than $30 for each day of service.  Any substitute teacher under contract with the Maine Educational Center for the Deaf and Hard of Hearing and the Governor Baxter School for the Deaf is deemed for the purposes of civil liability to be an employee of a governmental entity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§12 (AMD).]</w:t>
      </w:r>
    </w:p>
    <w:p>
      <w:pPr>
        <w:jc w:val="both"/>
        <w:spacing w:before="100" w:after="0"/>
        <w:ind w:start="360"/>
        <w:ind w:firstLine="360"/>
      </w:pPr>
      <w:r>
        <w:rPr>
          <w:b/>
        </w:rPr>
        <w:t>4</w:t>
        <w:t xml:space="preserve">.  </w:t>
      </w:r>
      <w:r>
        <w:rPr>
          <w:b/>
        </w:rPr>
        <w:t xml:space="preserve">Annuity contract premiums.</w:t>
        <w:t xml:space="preserve"> </w:t>
      </w:r>
      <w:r>
        <w:t xml:space="preserve"> </w:t>
      </w:r>
      <w:r>
        <w:t xml:space="preserve">Money paid by a school administrative unit as a premium for an annuity contract for the benefit of an employee shall, for purposes of minimum salaries for teachers, be considered part of that employee's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Reimbursement for additional professional training.</w:t>
        <w:t xml:space="preserve"> </w:t>
      </w:r>
      <w:r>
        <w:t xml:space="preserve"> </w:t>
      </w:r>
      <w:r>
        <w:t xml:space="preserve">When a certified teacher completes, within any 2-year period, 6 credit hours of additional professional work approved by the superintendent, the school administrative unit shall pay that teacher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Permits or special licenses.</w:t>
        <w:t xml:space="preserve"> </w:t>
      </w:r>
      <w:r>
        <w:t xml:space="preserve"> </w:t>
      </w:r>
      <w:r>
        <w:t xml:space="preserve">If the employment of teachers under permit or other special license is authorized by the commissioner, the commissioner may prescribe minimum salaries and other rules for this class of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520 (AMD). PL 1985, c. 505, §2 (AMD). PL 1995, c. 676, §7 (AMD). PL 1995, c. 676, §13 (AFF). PL 2005, c. 279, §12 (AMD). PL 2005, c. 635,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§13402. Minimum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§13402. Minimum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§13402. MINIMUM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