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§1466. Withdrawal of a single municipality from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Withdrawal of a single municipality from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§1466. WITHDRAWAL OF A SINGLE MUNICIPALITY FROM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