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15689-F</w:t>
        <w:t xml:space="preserve">.  </w:t>
      </w:r>
      <w:r>
        <w:rPr>
          <w:b/>
        </w:rPr>
        <w:t xml:space="preserve">Actions by department</w:t>
      </w:r>
    </w:p>
    <w:p>
      <w:pPr>
        <w:jc w:val="both"/>
        <w:spacing w:before="100" w:after="100"/>
        <w:ind w:start="360"/>
        <w:ind w:firstLine="360"/>
      </w:pPr>
      <w:r>
        <w:rPr/>
      </w:r>
      <w:r>
        <w:rPr/>
      </w:r>
      <w:r>
        <w:t xml:space="preserve">Within the annual appropriations, the department shall follow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1</w:t>
        <w:t xml:space="preserve">.  </w:t>
      </w:r>
      <w:r>
        <w:rPr>
          <w:b/>
        </w:rPr>
        <w:t xml:space="preserve">State's obligation.</w:t>
        <w:t xml:space="preserve"> </w:t>
      </w:r>
      <w:r>
        <w:t xml:space="preserve"> </w:t>
      </w:r>
      <w:r>
        <w:t xml:space="preserve">If the State's continued obligation for any program provided by one of the appropriated amounts under </w:t>
      </w:r>
      <w:r>
        <w:t>section 15689‑E</w:t>
      </w:r>
      <w:r>
        <w:t xml:space="preserve"> exceeds the appropriated amount, any unexpended balance from another of those appropriated amounts may be applied by the commissioner toward the obligation for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w:t>
        <w:t xml:space="preserve">.  </w:t>
      </w:r>
      <w:r>
        <w:rPr>
          <w:b/>
        </w:rPr>
        <w:t xml:space="preserve">Cash flow.</w:t>
        <w:t xml:space="preserve"> </w:t>
      </w:r>
      <w:r>
        <w:t xml:space="preserve"> </w:t>
      </w:r>
      <w:r>
        <w:t xml:space="preserve">For the purpose of cash flow, the commissioner may pay the full state and local share of the payment amounts due on bond issues for school construction from that school administrative unit's state subsidy, excluding payments on non-state-funded projects.  This subsection does not apply if a school administrative unit has less subsidy than the total principal and interest payment on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3</w:t>
        <w:t xml:space="preserve">.  </w:t>
      </w:r>
      <w:r>
        <w:rPr>
          <w:b/>
        </w:rPr>
        <w:t xml:space="preserve">Casino revenues.</w:t>
        <w:t xml:space="preserve"> </w:t>
      </w:r>
      <w:r>
        <w:t xml:space="preserve"> </w:t>
      </w:r>
      <w:r>
        <w:t xml:space="preserve">If the annual funding for public education for children in public preschool programs and for children in kindergarten and grades one to 12 is supported by casino revenues credited to the department pursuant to </w:t>
      </w:r>
      <w:r>
        <w:t>Title 8, section 1036</w:t>
      </w:r>
      <w:r>
        <w:t xml:space="preserve">, the department shall journal expenditures from the General Purpose Aid for Local Schools, General Fund account to the K-12 Essential Programs and Services, Other Special Revenue Funds account to meet financial obligations and for purposes of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§20 (AMD). PL 2013, c. 581,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§15689-F. Actions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§15689-F. Actions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§15689-F. ACTIONS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