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school purposes by a school administrative unit for major capital expenses, bus purchases or current operating expenses, including tax or other revenue anticipation notes, are general obligations of the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school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school administrative unit in a given year as certified to the unit by the commissioner. The commissioner shall certify the amount due to the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§15695. Bonds; notes;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§15695. Bonds; notes;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§15695. BONDS; NOTES;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