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15908</w:t>
        <w:t xml:space="preserve">.  </w:t>
      </w:r>
      <w:r>
        <w:rPr>
          <w:b/>
        </w:rPr>
        <w:t xml:space="preserve">Design limits</w:t>
      </w:r>
    </w:p>
    <w:p>
      <w:pPr>
        <w:jc w:val="both"/>
        <w:spacing w:before="100" w:after="0"/>
        <w:ind w:start="360"/>
        <w:ind w:firstLine="360"/>
      </w:pPr>
      <w:r>
        <w:rPr>
          <w:b/>
        </w:rPr>
        <w:t>1</w:t>
        <w:t xml:space="preserve">.  </w:t>
      </w:r>
      <w:r>
        <w:rPr>
          <w:b/>
        </w:rPr>
        <w:t xml:space="preserve">Technical assistance.</w:t>
        <w:t xml:space="preserve"> </w:t>
      </w:r>
      <w:r>
        <w:t xml:space="preserve"> </w:t>
      </w:r>
      <w:r>
        <w:t xml:space="preserve">In order to provide the technical assistance required by the state board in assessing proposed school construction projects, the department may contract for the services of a professional engineer whenever the department is not employing qualified personnel on a full-time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§39 (AMD).]</w:t>
      </w:r>
    </w:p>
    <w:p>
      <w:pPr>
        <w:jc w:val="both"/>
        <w:spacing w:before="100" w:after="0"/>
        <w:ind w:start="360"/>
        <w:ind w:firstLine="360"/>
      </w:pPr>
      <w:r>
        <w:rPr>
          <w:b/>
        </w:rPr>
        <w:t>2</w:t>
        <w:t xml:space="preserve">.  </w:t>
      </w:r>
      <w:r>
        <w:rPr>
          <w:b/>
        </w:rPr>
        <w:t xml:space="preserve">Energy conservation standards.</w:t>
        <w:t xml:space="preserve"> </w:t>
      </w:r>
      <w:r>
        <w:t xml:space="preserve"> </w:t>
      </w:r>
      <w:r>
        <w:t xml:space="preserve">The state board shall approve only those projects which have been designed in accordance with rigorous standards for the conservation of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Life-cycle costs.</w:t>
        <w:t xml:space="preserve"> </w:t>
      </w:r>
      <w:r>
        <w:t xml:space="preserve"> </w:t>
      </w:r>
      <w:r>
        <w:t xml:space="preserve">The department may not approve the plans and specifications of a project that does not meet the requirements of </w:t>
      </w:r>
      <w:r>
        <w:t>Title 5, chapter 153, subchapter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§40 (AMD).]</w:t>
      </w:r>
    </w:p>
    <w:p>
      <w:pPr>
        <w:jc w:val="both"/>
        <w:spacing w:before="100" w:after="0"/>
        <w:ind w:start="360"/>
        <w:ind w:firstLine="360"/>
      </w:pPr>
      <w:r>
        <w:rPr>
          <w:b/>
        </w:rPr>
        <w:t>4</w:t>
        <w:t xml:space="preserve">.  </w:t>
      </w:r>
      <w:r>
        <w:rPr>
          <w:b/>
        </w:rPr>
        <w:t xml:space="preserve">Consistent siting.</w:t>
        <w:t xml:space="preserve"> </w:t>
      </w:r>
      <w:r>
        <w:t xml:space="preserve"> </w:t>
      </w:r>
      <w:r>
        <w:t xml:space="preserve">The state board shall adopt criteria governing applications under this chapter to direct construction projects for new schools to areas determined suitable under the provisions of </w:t>
      </w:r>
      <w:r>
        <w:t>Title 30‑A, chapter 187, subchapter II</w:t>
      </w:r>
      <w:r>
        <w:t xml:space="preserve">, by the municipality within which the project will be located.  The board may not require a minimum contiguous parcel size for the project as a condition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B, §1 (NEW); PL 1993, c. 721, Pt. H, §1 (AFF).]</w:t>
      </w:r>
    </w:p>
    <w:p>
      <w:pPr>
        <w:jc w:val="both"/>
        <w:spacing w:before="100" w:after="0"/>
        <w:ind w:start="360"/>
        <w:ind w:firstLine="360"/>
      </w:pPr>
      <w:r>
        <w:rPr>
          <w:b/>
        </w:rPr>
        <w:t>5</w:t>
        <w:t xml:space="preserve">.  </w:t>
      </w:r>
      <w:r>
        <w:rPr>
          <w:b/>
        </w:rPr>
        <w:t xml:space="preserve">Backup energy generators.</w:t>
        <w:t xml:space="preserve"> </w:t>
      </w:r>
      <w:r>
        <w:t xml:space="preserve"> </w:t>
      </w:r>
      <w:r>
        <w:t xml:space="preserve">In the case of a school construction project in which the school is expected to be used as a community shelter, the state board may approve only those projects designed to accommodate backup energy generators.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721, §B1 (AMD). PL 1993, c. 721, §H1 (AFF). PL 2005, c. 634, §9 (AMD). PL 2011, c. 691, Pt. B, §22 (AMD). PL 2019, c. 398, §§39,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§15908. Design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§15908. Design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§15908. DESIGN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