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15916</w:t>
        <w:t xml:space="preserve">.  </w:t>
      </w:r>
      <w:r>
        <w:rPr>
          <w:b/>
        </w:rPr>
        <w:t xml:space="preserve">Federal construction aid</w:t>
      </w:r>
    </w:p>
    <w:p>
      <w:pPr>
        <w:jc w:val="both"/>
        <w:spacing w:before="100" w:after="100"/>
        <w:ind w:start="360"/>
        <w:ind w:firstLine="360"/>
      </w:pPr>
      <w:r>
        <w:rPr/>
      </w:r>
      <w:r>
        <w:rPr/>
      </w:r>
      <w:r>
        <w:t xml:space="preserve">The state board shall be the designated agency to administer any federal funds made available to assist in the construction of facilities for schools, educational programs or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1987, c. 402, Pt. A, §135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§15916. Federal construction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§15916. Federal construction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§15916. FEDERAL CONSTRUCTION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