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Official school</w:t>
      </w:r>
    </w:p>
    <w:p>
      <w:pPr>
        <w:jc w:val="both"/>
        <w:spacing w:before="100" w:after="100"/>
        <w:ind w:start="360"/>
        <w:ind w:firstLine="360"/>
      </w:pPr>
      <w:r>
        <w:rPr/>
      </w:r>
      <w:r>
        <w:rPr/>
      </w:r>
      <w:r>
        <w:t xml:space="preserve">The community school district shall be the official school of the participating municipalities responsible for the operation of the grades authorized by the commissioner's certificate.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Official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Official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§1603. OFFICIAL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